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F3D1C" w:rsidRPr="00EF3D1C" w:rsidTr="00AE623E">
        <w:trPr>
          <w:trHeight w:val="392"/>
        </w:trPr>
        <w:tc>
          <w:tcPr>
            <w:tcW w:w="10348" w:type="dxa"/>
            <w:shd w:val="clear" w:color="auto" w:fill="003366"/>
          </w:tcPr>
          <w:p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</w:t>
            </w:r>
            <w:proofErr w:type="spellStart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>Checklist</w:t>
            </w:r>
            <w:proofErr w:type="spellEnd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4A04D2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L’acquisto non è stato effettuato in pendenza di una sospensione, oppure a seguito di annullamento o revoca dell’abilitazione, o dopo l’invio della richiesta di </w:t>
            </w:r>
            <w:proofErr w:type="spellStart"/>
            <w:r w:rsidRPr="00EF3D1C">
              <w:rPr>
                <w:rFonts w:ascii="Arial" w:eastAsia="Cambria" w:hAnsi="Arial" w:cs="Arial"/>
                <w:sz w:val="20"/>
                <w:szCs w:val="20"/>
              </w:rPr>
              <w:t>disabilitazione</w:t>
            </w:r>
            <w:proofErr w:type="spellEnd"/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4A04D2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4A04D2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</w:tbl>
    <w:p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312" w:rsidRDefault="003E6312">
      <w:pPr>
        <w:spacing w:after="0" w:line="240" w:lineRule="auto"/>
      </w:pPr>
      <w:r>
        <w:separator/>
      </w:r>
    </w:p>
  </w:endnote>
  <w:endnote w:type="continuationSeparator" w:id="0">
    <w:p w:rsidR="003E6312" w:rsidRDefault="003E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C3A6C" w:rsidRDefault="003E6312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6EF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C3A6C" w:rsidRDefault="003E6312" w:rsidP="00B637B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C09" w:rsidRDefault="003E63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312" w:rsidRDefault="003E6312">
      <w:pPr>
        <w:spacing w:after="0" w:line="240" w:lineRule="auto"/>
      </w:pPr>
      <w:r>
        <w:separator/>
      </w:r>
    </w:p>
  </w:footnote>
  <w:footnote w:type="continuationSeparator" w:id="0">
    <w:p w:rsidR="003E6312" w:rsidRDefault="003E6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3E6312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0" type="#_x0000_t136" style="position:absolute;margin-left:0;margin-top:0;width:484.95pt;height:193.95pt;rotation:315;z-index:-25165619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Pr="00263BCF" w:rsidRDefault="003E6312">
    <w:pPr>
      <w:pStyle w:val="Intestazione"/>
      <w:rPr>
        <w:rFonts w:ascii="Arial" w:hAnsi="Arial"/>
        <w:sz w:val="20"/>
      </w:rPr>
    </w:pPr>
    <w:r>
      <w:rPr>
        <w:rFonts w:ascii="Arial" w:hAnsi="Arial"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49" type="#_x0000_t136" style="position:absolute;margin-left:0;margin-top:0;width:484.95pt;height:193.95pt;rotation:315;z-index:-25165721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 w:rsidR="00EF3D1C">
      <w:rPr>
        <w:rFonts w:ascii="Arial" w:hAnsi="Arial"/>
        <w:sz w:val="20"/>
      </w:rPr>
      <w:t xml:space="preserve">AGEA – Sviluppo Rurale – </w:t>
    </w:r>
    <w:proofErr w:type="spellStart"/>
    <w:r w:rsidR="00EF3D1C">
      <w:rPr>
        <w:rFonts w:ascii="Arial" w:hAnsi="Arial"/>
        <w:sz w:val="20"/>
      </w:rPr>
      <w:t>checklist</w:t>
    </w:r>
    <w:proofErr w:type="spellEnd"/>
    <w:r w:rsidR="00EF3D1C">
      <w:rPr>
        <w:rFonts w:ascii="Arial" w:hAnsi="Arial"/>
        <w:sz w:val="20"/>
      </w:rPr>
      <w:t xml:space="preserve">  </w:t>
    </w:r>
    <w:r w:rsidR="00EF3D1C" w:rsidRPr="00E56014">
      <w:rPr>
        <w:rFonts w:ascii="Arial" w:hAnsi="Arial"/>
        <w:sz w:val="20"/>
      </w:rPr>
      <w:t>CONTROLLO</w:t>
    </w:r>
    <w:r w:rsidR="00EF3D1C" w:rsidRPr="00357856">
      <w:rPr>
        <w:rFonts w:ascii="Arial" w:hAnsi="Arial"/>
        <w:sz w:val="20"/>
      </w:rPr>
      <w:t>_P</w:t>
    </w:r>
    <w:r w:rsidR="00EF3D1C">
      <w:rPr>
        <w:rFonts w:ascii="Arial" w:hAnsi="Arial"/>
        <w:sz w:val="20"/>
      </w:rPr>
      <w:t>OST_aggiudicazione_gara_vers_2.7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3E6312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1" type="#_x0000_t136" style="position:absolute;margin-left:0;margin-top:0;width:484.95pt;height:193.95pt;rotation:315;z-index:-25165516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1C"/>
    <w:rsid w:val="003E6312"/>
    <w:rsid w:val="004A04D2"/>
    <w:rsid w:val="005A6461"/>
    <w:rsid w:val="00696EF2"/>
    <w:rsid w:val="006B7166"/>
    <w:rsid w:val="0071092E"/>
    <w:rsid w:val="009474E5"/>
    <w:rsid w:val="00B97915"/>
    <w:rsid w:val="00EE4126"/>
    <w:rsid w:val="00E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Gianpaolo</cp:lastModifiedBy>
  <cp:revision>5</cp:revision>
  <dcterms:created xsi:type="dcterms:W3CDTF">2020-11-09T21:54:00Z</dcterms:created>
  <dcterms:modified xsi:type="dcterms:W3CDTF">2020-12-12T18:06:00Z</dcterms:modified>
</cp:coreProperties>
</file>